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  <w:lang w:val="en-US"/>
        </w:rPr>
        <w:t>Checklist of Absenteeism Protective Factors and Risk Factors</w:t>
      </w:r>
    </w:p>
    <w:p>
      <w:pPr>
        <w:pStyle w:val="Body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Some of the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" w:hAnsi="Arial"/>
          <w:b w:val="1"/>
          <w:bCs w:val="1"/>
          <w:rtl w:val="0"/>
          <w:lang w:val="en-US"/>
        </w:rPr>
        <w:t>protective factors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for</w:t>
      </w:r>
      <w:r>
        <w:rPr>
          <w:rFonts w:ascii="Arial" w:hAnsi="Arial"/>
          <w:rtl w:val="0"/>
          <w:lang w:val="en-US"/>
        </w:rPr>
        <w:t xml:space="preserve"> students that can mitigate and address absenteeism:</w:t>
      </w:r>
      <w:r>
        <w:rPr>
          <w:rFonts w:ascii="Arial" w:hAnsi="Arial"/>
          <w:sz w:val="12"/>
          <w:szCs w:val="12"/>
          <w:rtl w:val="0"/>
          <w:lang w:val="en-US"/>
        </w:rPr>
        <w:t>(Adapted from CHECK &amp; CONNECT Protective Factors associated with school dropout, Regents of University of Minnesota, 2017)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completes homework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comes to class prepared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has high locus of control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has good self-concept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has expectations for school completion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family- academic support for learning(e.g. help with homework)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- motivational support for learning(e.g. high expectations for learning)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- availability of educational resources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- parental monitoring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 - orderly school environment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 - committed, caring teachers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 - fair discipline policies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 - relationship with one caring adult</w:t>
      </w:r>
    </w:p>
    <w:p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 - opportunities for participatio</w:t>
      </w:r>
      <w:r>
        <w:rPr>
          <w:rFonts w:ascii="Arial" w:hAnsi="Arial"/>
          <w:rtl w:val="0"/>
          <w:lang w:val="en-US"/>
        </w:rPr>
        <w:t>n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Other (Please specify)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Some of the </w:t>
      </w:r>
      <w:r>
        <w:rPr>
          <w:rFonts w:ascii="Arial" w:hAnsi="Arial"/>
          <w:b w:val="1"/>
          <w:bCs w:val="1"/>
          <w:rtl w:val="0"/>
          <w:lang w:val="en-US"/>
        </w:rPr>
        <w:t xml:space="preserve">risk factors </w:t>
      </w:r>
      <w:r>
        <w:rPr>
          <w:rFonts w:ascii="Arial" w:hAnsi="Arial"/>
          <w:rtl w:val="0"/>
          <w:lang w:val="en-US"/>
        </w:rPr>
        <w:t>or reasons impacting student attendance were:</w:t>
      </w:r>
      <w:r>
        <w:rPr>
          <w:rFonts w:ascii="Arial" w:hAnsi="Arial" w:hint="default"/>
          <w:rtl w:val="0"/>
          <w:lang w:val="en-US"/>
        </w:rPr>
        <w:t xml:space="preserve">  </w:t>
      </w:r>
      <w:r>
        <w:rPr>
          <w:rFonts w:ascii="Arial" w:hAnsi="Arial"/>
          <w:rtl w:val="0"/>
          <w:lang w:val="en-US"/>
        </w:rPr>
        <w:t>(check all that apply)</w:t>
      </w:r>
    </w:p>
    <w:p>
      <w:pPr>
        <w:pStyle w:val="Body"/>
        <w:rPr>
          <w:rFonts w:ascii="Arial" w:cs="Arial" w:hAnsi="Arial" w:eastAsia="Arial"/>
          <w:sz w:val="14"/>
          <w:szCs w:val="14"/>
        </w:rPr>
      </w:pPr>
      <w:r>
        <w:rPr>
          <w:rFonts w:ascii="Arial" w:hAnsi="Arial"/>
          <w:sz w:val="14"/>
          <w:szCs w:val="14"/>
          <w:rtl w:val="0"/>
          <w:lang w:val="en-US"/>
        </w:rPr>
        <w:t>(adapted from Dr. Chris O'Connor, Dr. Tyler Frederick Ontario Tech University Literature Review 2017)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school phobia/anxiety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learning disabilities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had poor school attachments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behaviour problems/disorders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stress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trauma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lack of motivation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part-time work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student health problems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child abuse/neglect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income is low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status is single parent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parent disability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lack of parental educational involvement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parental substance abuse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family lack of parenting skills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 - conflicts with teachers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school- deficient attendance policies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school-bullying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school- not accommodating different learning styles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 - disadvantaged schools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school- unchallenging assignments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community - disadvantage linked to family income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community - disadvantage linked to type of neighbourhood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community - disadvantage linked to local schools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community - disadvantage linked to investment in youth</w:t>
      </w:r>
    </w:p>
    <w:p>
      <w:pPr>
        <w:pStyle w:val="Body"/>
        <w:numPr>
          <w:ilvl w:val="0"/>
          <w:numId w:val="2"/>
        </w:numPr>
        <w:rPr>
          <w:rFonts w:ascii="Arial" w:hAnsi="Arial"/>
          <w:lang w:val="en-US"/>
        </w:rPr>
      </w:pPr>
      <w:r>
        <w:rPr>
          <w:rFonts w:ascii="Arial" w:hAnsi="Arial"/>
          <w:rtl w:val="0"/>
          <w:lang w:val="en-US"/>
        </w:rPr>
        <w:t>Other (Please specify)</w:t>
      </w:r>
    </w:p>
    <w:p>
      <w:pPr>
        <w:pStyle w:val="Body"/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Stan Baker  Restorative Resolutions   www.restorative.ca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40.0pt;height:340.0pt;">
        <v:imagedata r:id="rId1" o:title="bullet_drafting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